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
        <w:gridCol w:w="6626"/>
        <w:gridCol w:w="2088"/>
      </w:tblGrid>
      <w:tr w:rsidR="00F552A4" w:rsidTr="006E6B95">
        <w:tc>
          <w:tcPr>
            <w:tcW w:w="1312" w:type="dxa"/>
            <w:vAlign w:val="center"/>
          </w:tcPr>
          <w:p w:rsidR="00BA126D" w:rsidRDefault="00A63369" w:rsidP="002C1F8C">
            <w:pPr>
              <w:tabs>
                <w:tab w:val="left" w:pos="180"/>
              </w:tabs>
              <w:jc w:val="center"/>
            </w:pPr>
            <w:r>
              <w:t xml:space="preserve">                                                                                                                                                             </w:t>
            </w:r>
            <w:r w:rsidR="00BA126D">
              <w:t>.</w:t>
            </w:r>
          </w:p>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2.3pt" o:ole="">
                  <v:imagedata r:id="rId8" o:title=""/>
                </v:shape>
                <o:OLEObject Type="Embed" ProgID="CorelDraw.Graphic.16" ShapeID="_x0000_i1025" DrawAspect="Content" ObjectID="_1500716954" r:id="rId9"/>
              </w:object>
            </w:r>
          </w:p>
        </w:tc>
        <w:tc>
          <w:tcPr>
            <w:tcW w:w="6626"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DF2FDD" w:rsidRPr="00757BBC" w:rsidRDefault="00DF2FDD" w:rsidP="00DF2FDD">
      <w:pPr>
        <w:spacing w:after="0" w:line="240" w:lineRule="auto"/>
        <w:jc w:val="center"/>
        <w:rPr>
          <w:b/>
          <w:sz w:val="30"/>
          <w:u w:val="single"/>
        </w:rPr>
      </w:pPr>
      <w:r>
        <w:rPr>
          <w:b/>
          <w:sz w:val="30"/>
          <w:u w:val="single"/>
        </w:rPr>
        <w:t xml:space="preserve">TENDER NOTICE </w:t>
      </w:r>
      <w:r w:rsidRPr="00757BBC">
        <w:rPr>
          <w:b/>
          <w:sz w:val="30"/>
          <w:u w:val="single"/>
        </w:rPr>
        <w:t>NO.1</w:t>
      </w:r>
      <w:r w:rsidR="00CE5A3C">
        <w:rPr>
          <w:b/>
          <w:sz w:val="30"/>
          <w:u w:val="single"/>
        </w:rPr>
        <w:t>9</w:t>
      </w:r>
      <w:r w:rsidR="006361CE">
        <w:rPr>
          <w:b/>
          <w:sz w:val="30"/>
          <w:u w:val="single"/>
        </w:rPr>
        <w:t>2</w:t>
      </w:r>
      <w:r>
        <w:rPr>
          <w:b/>
          <w:sz w:val="30"/>
          <w:u w:val="single"/>
        </w:rPr>
        <w:t>/2015</w:t>
      </w:r>
    </w:p>
    <w:p w:rsidR="00DF2FDD" w:rsidRPr="00BC4AAF" w:rsidRDefault="00DF2FDD" w:rsidP="00DF2FDD">
      <w:pPr>
        <w:spacing w:after="0" w:line="240" w:lineRule="auto"/>
        <w:jc w:val="center"/>
        <w:rPr>
          <w:b/>
          <w:color w:val="FFFFFF" w:themeColor="background1"/>
        </w:rPr>
      </w:pPr>
      <w:r w:rsidRPr="00BC4AAF">
        <w:rPr>
          <w:b/>
          <w:color w:val="FFFFFF" w:themeColor="background1"/>
        </w:rPr>
        <w:t>(PRICE OF TENDER FORM RS 500/-)</w:t>
      </w:r>
    </w:p>
    <w:p w:rsidR="00DF2FDD" w:rsidRDefault="00DF2FDD" w:rsidP="00DF2FDD">
      <w:pPr>
        <w:spacing w:after="0" w:line="360" w:lineRule="auto"/>
        <w:rPr>
          <w:b/>
          <w:color w:val="FFFFFF" w:themeColor="background1"/>
          <w:sz w:val="24"/>
          <w:szCs w:val="24"/>
          <w:u w:val="single"/>
        </w:rPr>
      </w:pPr>
      <w:r w:rsidRPr="004A7300">
        <w:rPr>
          <w:sz w:val="24"/>
          <w:szCs w:val="24"/>
        </w:rPr>
        <w:t xml:space="preserve">Issue Date: </w:t>
      </w:r>
      <w:r w:rsidR="001900D0">
        <w:rPr>
          <w:b/>
          <w:sz w:val="24"/>
          <w:szCs w:val="24"/>
          <w:u w:val="single"/>
        </w:rPr>
        <w:t>10</w:t>
      </w:r>
      <w:r>
        <w:rPr>
          <w:b/>
          <w:sz w:val="24"/>
          <w:szCs w:val="24"/>
          <w:u w:val="single"/>
        </w:rPr>
        <w:t>-</w:t>
      </w:r>
      <w:r w:rsidR="005711FD">
        <w:rPr>
          <w:b/>
          <w:sz w:val="24"/>
          <w:szCs w:val="24"/>
          <w:u w:val="single"/>
        </w:rPr>
        <w:t>0</w:t>
      </w:r>
      <w:r w:rsidR="00991A27">
        <w:rPr>
          <w:b/>
          <w:sz w:val="24"/>
          <w:szCs w:val="24"/>
          <w:u w:val="single"/>
        </w:rPr>
        <w:t>8</w:t>
      </w:r>
      <w:r w:rsidRPr="002532EE">
        <w:rPr>
          <w:b/>
          <w:sz w:val="24"/>
          <w:szCs w:val="24"/>
          <w:u w:val="single"/>
        </w:rPr>
        <w:t>-201</w:t>
      </w:r>
      <w:r>
        <w:rPr>
          <w:b/>
          <w:sz w:val="24"/>
          <w:szCs w:val="24"/>
          <w:u w:val="single"/>
        </w:rPr>
        <w:t>5</w:t>
      </w:r>
      <w:r>
        <w:rPr>
          <w:b/>
          <w:color w:val="FFFFFF" w:themeColor="background1"/>
          <w:sz w:val="24"/>
          <w:szCs w:val="24"/>
          <w:u w:val="single"/>
        </w:rPr>
        <w:tab/>
      </w:r>
      <w:r w:rsidRPr="00792C31">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r>
      <w:r w:rsidR="00BA126D">
        <w:rPr>
          <w:sz w:val="24"/>
          <w:szCs w:val="24"/>
        </w:rPr>
        <w:t xml:space="preserve">           </w:t>
      </w:r>
      <w:r w:rsidRPr="004A7300">
        <w:rPr>
          <w:sz w:val="24"/>
          <w:szCs w:val="24"/>
        </w:rPr>
        <w:t xml:space="preserve">Receiving Date: </w:t>
      </w:r>
      <w:r w:rsidR="002A415D">
        <w:rPr>
          <w:b/>
          <w:sz w:val="24"/>
          <w:szCs w:val="24"/>
          <w:u w:val="single"/>
        </w:rPr>
        <w:t>2</w:t>
      </w:r>
      <w:r w:rsidR="001900D0">
        <w:rPr>
          <w:b/>
          <w:sz w:val="24"/>
          <w:szCs w:val="24"/>
          <w:u w:val="single"/>
        </w:rPr>
        <w:t>8</w:t>
      </w:r>
      <w:r w:rsidRPr="002532EE">
        <w:rPr>
          <w:b/>
          <w:sz w:val="24"/>
          <w:szCs w:val="24"/>
          <w:u w:val="single"/>
        </w:rPr>
        <w:t>-</w:t>
      </w:r>
      <w:r w:rsidR="005711FD">
        <w:rPr>
          <w:b/>
          <w:sz w:val="24"/>
          <w:szCs w:val="24"/>
          <w:u w:val="single"/>
        </w:rPr>
        <w:t>0</w:t>
      </w:r>
      <w:r w:rsidR="00991A27">
        <w:rPr>
          <w:b/>
          <w:sz w:val="24"/>
          <w:szCs w:val="24"/>
          <w:u w:val="single"/>
        </w:rPr>
        <w:t>8</w:t>
      </w:r>
      <w:r w:rsidRPr="002532EE">
        <w:rPr>
          <w:b/>
          <w:sz w:val="24"/>
          <w:szCs w:val="24"/>
          <w:u w:val="single"/>
        </w:rPr>
        <w:t>-201</w:t>
      </w:r>
      <w:r>
        <w:rPr>
          <w:b/>
          <w:sz w:val="24"/>
          <w:szCs w:val="24"/>
          <w:u w:val="single"/>
        </w:rPr>
        <w:t>5</w:t>
      </w:r>
      <w:r w:rsidRPr="00792C31">
        <w:rPr>
          <w:b/>
          <w:color w:val="FFFFFF" w:themeColor="background1"/>
          <w:sz w:val="24"/>
          <w:szCs w:val="24"/>
          <w:u w:val="single"/>
        </w:rPr>
        <w:t>21/04/01</w:t>
      </w:r>
    </w:p>
    <w:tbl>
      <w:tblPr>
        <w:tblStyle w:val="TableGrid"/>
        <w:tblW w:w="5000" w:type="pct"/>
        <w:tblLook w:val="04A0"/>
      </w:tblPr>
      <w:tblGrid>
        <w:gridCol w:w="1098"/>
        <w:gridCol w:w="5339"/>
        <w:gridCol w:w="3787"/>
      </w:tblGrid>
      <w:tr w:rsidR="00DF2FDD" w:rsidRPr="00553E04" w:rsidTr="001940FE">
        <w:trPr>
          <w:trHeight w:val="386"/>
        </w:trPr>
        <w:tc>
          <w:tcPr>
            <w:tcW w:w="537" w:type="pct"/>
          </w:tcPr>
          <w:p w:rsidR="00DF2FDD" w:rsidRPr="00553E04" w:rsidRDefault="00DF2FDD" w:rsidP="00F47268">
            <w:pPr>
              <w:rPr>
                <w:b/>
                <w:sz w:val="24"/>
                <w:szCs w:val="24"/>
              </w:rPr>
            </w:pPr>
            <w:r>
              <w:rPr>
                <w:b/>
                <w:sz w:val="24"/>
                <w:szCs w:val="24"/>
              </w:rPr>
              <w:t>Sr.</w:t>
            </w:r>
            <w:r w:rsidRPr="00553E04">
              <w:rPr>
                <w:b/>
                <w:sz w:val="24"/>
                <w:szCs w:val="24"/>
              </w:rPr>
              <w:t xml:space="preserve"> No.</w:t>
            </w:r>
          </w:p>
        </w:tc>
        <w:tc>
          <w:tcPr>
            <w:tcW w:w="2611" w:type="pct"/>
          </w:tcPr>
          <w:p w:rsidR="00DF2FDD" w:rsidRPr="00553E04" w:rsidRDefault="00DF2FDD" w:rsidP="00F47268">
            <w:pPr>
              <w:rPr>
                <w:b/>
                <w:sz w:val="24"/>
                <w:szCs w:val="24"/>
              </w:rPr>
            </w:pPr>
            <w:r w:rsidRPr="00553E04">
              <w:rPr>
                <w:b/>
                <w:sz w:val="24"/>
                <w:szCs w:val="24"/>
              </w:rPr>
              <w:t>Description</w:t>
            </w:r>
          </w:p>
        </w:tc>
        <w:tc>
          <w:tcPr>
            <w:tcW w:w="1852" w:type="pct"/>
          </w:tcPr>
          <w:p w:rsidR="00DF2FDD" w:rsidRPr="00553E04" w:rsidRDefault="00CE5A3C" w:rsidP="00CE5A3C">
            <w:pPr>
              <w:jc w:val="center"/>
              <w:rPr>
                <w:b/>
                <w:sz w:val="24"/>
                <w:szCs w:val="24"/>
              </w:rPr>
            </w:pPr>
            <w:r>
              <w:rPr>
                <w:b/>
                <w:sz w:val="24"/>
                <w:szCs w:val="24"/>
              </w:rPr>
              <w:t>Remarks</w:t>
            </w:r>
          </w:p>
        </w:tc>
      </w:tr>
      <w:tr w:rsidR="00DF2FDD" w:rsidRPr="00553E04" w:rsidTr="00A57875">
        <w:trPr>
          <w:trHeight w:val="350"/>
        </w:trPr>
        <w:tc>
          <w:tcPr>
            <w:tcW w:w="537" w:type="pct"/>
          </w:tcPr>
          <w:p w:rsidR="00DF2FDD" w:rsidRPr="00C06978" w:rsidRDefault="00DF2FDD" w:rsidP="00F47268">
            <w:pPr>
              <w:pStyle w:val="ListParagraph"/>
              <w:numPr>
                <w:ilvl w:val="0"/>
                <w:numId w:val="27"/>
              </w:numPr>
              <w:rPr>
                <w:sz w:val="24"/>
                <w:szCs w:val="24"/>
              </w:rPr>
            </w:pPr>
          </w:p>
        </w:tc>
        <w:tc>
          <w:tcPr>
            <w:tcW w:w="2611" w:type="pct"/>
          </w:tcPr>
          <w:p w:rsidR="00DF2FDD" w:rsidRPr="00C06978" w:rsidRDefault="005711FD" w:rsidP="00F47268">
            <w:pPr>
              <w:ind w:right="-108"/>
              <w:rPr>
                <w:sz w:val="24"/>
                <w:szCs w:val="24"/>
              </w:rPr>
            </w:pPr>
            <w:r>
              <w:rPr>
                <w:sz w:val="24"/>
                <w:szCs w:val="24"/>
              </w:rPr>
              <w:t>Printing of books</w:t>
            </w:r>
          </w:p>
        </w:tc>
        <w:tc>
          <w:tcPr>
            <w:tcW w:w="1852" w:type="pct"/>
          </w:tcPr>
          <w:p w:rsidR="00DF2FDD" w:rsidRPr="00C06978" w:rsidRDefault="00CE5A3C" w:rsidP="00CE5A3C">
            <w:pPr>
              <w:ind w:right="-108"/>
              <w:jc w:val="center"/>
              <w:rPr>
                <w:sz w:val="24"/>
                <w:szCs w:val="24"/>
              </w:rPr>
            </w:pPr>
            <w:r>
              <w:rPr>
                <w:sz w:val="24"/>
                <w:szCs w:val="24"/>
              </w:rPr>
              <w:t>Tender de</w:t>
            </w:r>
            <w:bookmarkStart w:id="0" w:name="_GoBack"/>
            <w:bookmarkEnd w:id="0"/>
            <w:r>
              <w:rPr>
                <w:sz w:val="24"/>
                <w:szCs w:val="24"/>
              </w:rPr>
              <w:t>tails are available in the Tender Document</w:t>
            </w: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D111BF" w:rsidRPr="0075675C" w:rsidRDefault="00D111BF" w:rsidP="00D111BF">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Pr>
          <w:rFonts w:ascii="Calibri" w:eastAsia="Calibri" w:hAnsi="Calibri" w:cs="Times New Roman"/>
          <w:sz w:val="24"/>
        </w:rPr>
        <w:t xml:space="preserve">deposit </w:t>
      </w:r>
      <w:r w:rsidRPr="0075675C">
        <w:rPr>
          <w:rFonts w:ascii="Calibri" w:eastAsia="Calibri" w:hAnsi="Calibri" w:cs="Times New Roman"/>
          <w:sz w:val="24"/>
        </w:rPr>
        <w:t>of Rs. 200/- cash as Tender Fee (Non Refundable)</w:t>
      </w:r>
      <w:r>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p>
    <w:p w:rsidR="00590D71" w:rsidRPr="0075675C" w:rsidRDefault="000B6714"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w:t>
      </w:r>
      <w:r w:rsidR="005F58F1">
        <w:rPr>
          <w:rFonts w:ascii="Calibri" w:eastAsia="Calibri" w:hAnsi="Calibri" w:cs="Times New Roman"/>
          <w:sz w:val="24"/>
        </w:rPr>
        <w:t>each book</w:t>
      </w:r>
      <w:r w:rsidR="00793208">
        <w:rPr>
          <w:rFonts w:ascii="Calibri" w:eastAsia="Calibri" w:hAnsi="Calibri" w:cs="Times New Roman"/>
          <w:sz w:val="24"/>
        </w:rPr>
        <w:t xml:space="preserve"> </w:t>
      </w:r>
      <w:r w:rsidRPr="0075675C">
        <w:rPr>
          <w:rFonts w:ascii="Calibri" w:eastAsia="Calibri" w:hAnsi="Calibri" w:cs="Times New Roman"/>
          <w:sz w:val="24"/>
        </w:rPr>
        <w:t xml:space="preserve">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567267">
        <w:rPr>
          <w:rFonts w:ascii="Calibri" w:eastAsia="Calibri" w:hAnsi="Calibri" w:cs="Times New Roman"/>
          <w:sz w:val="24"/>
        </w:rPr>
        <w:t xml:space="preserve">Director General </w:t>
      </w:r>
      <w:r w:rsidRPr="00EA2619">
        <w:rPr>
          <w:rFonts w:ascii="Calibri" w:eastAsia="Calibri" w:hAnsi="Calibri" w:cs="Times New Roman"/>
          <w:sz w:val="24"/>
        </w:rPr>
        <w:t xml:space="preserve">PITAC, Lahore </w:t>
      </w:r>
      <w:r w:rsidR="00BF1C75" w:rsidRPr="00EA2619">
        <w:rPr>
          <w:rFonts w:ascii="Calibri" w:eastAsia="Calibri" w:hAnsi="Calibri" w:cs="Times New Roman"/>
          <w:sz w:val="24"/>
        </w:rPr>
        <w:t>must accompany</w:t>
      </w:r>
      <w:r w:rsidRPr="00EA2619">
        <w:rPr>
          <w:rFonts w:ascii="Calibri" w:eastAsia="Calibri" w:hAnsi="Calibri" w:cs="Times New Roman"/>
          <w:sz w:val="24"/>
        </w:rPr>
        <w:t xml:space="preserve"> with the offer Tender.  </w:t>
      </w:r>
    </w:p>
    <w:p w:rsidR="000B5FD5" w:rsidRPr="000B5FD5" w:rsidRDefault="000B5FD5" w:rsidP="002734A5">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567267">
        <w:rPr>
          <w:rFonts w:ascii="Calibri" w:eastAsia="Calibri" w:hAnsi="Calibri" w:cs="Times New Roman"/>
          <w:sz w:val="24"/>
        </w:rPr>
        <w:t xml:space="preserve">Director General </w:t>
      </w:r>
      <w:r w:rsidRPr="000B5FD5">
        <w:rPr>
          <w:rFonts w:ascii="Calibri" w:eastAsia="Calibri" w:hAnsi="Calibri" w:cs="Times New Roman"/>
          <w:sz w:val="24"/>
        </w:rPr>
        <w:t xml:space="preserve">PITAC, Lahore on or before the above mentioned Receiving Date at 11:00 AM, which will be opened on the same day at </w:t>
      </w:r>
      <w:r w:rsidR="00860334">
        <w:rPr>
          <w:rFonts w:ascii="Calibri" w:eastAsia="Calibri" w:hAnsi="Calibri" w:cs="Times New Roman"/>
          <w:sz w:val="24"/>
        </w:rPr>
        <w:t>0</w:t>
      </w:r>
      <w:r w:rsidR="005711FD">
        <w:rPr>
          <w:rFonts w:ascii="Calibri" w:eastAsia="Calibri" w:hAnsi="Calibri" w:cs="Times New Roman"/>
          <w:sz w:val="24"/>
        </w:rPr>
        <w:t>3</w:t>
      </w:r>
      <w:r w:rsidRPr="000B5FD5">
        <w:rPr>
          <w:rFonts w:ascii="Calibri" w:eastAsia="Calibri" w:hAnsi="Calibri" w:cs="Times New Roman"/>
          <w:sz w:val="24"/>
        </w:rPr>
        <w:t>:</w:t>
      </w:r>
      <w:r w:rsidR="005711FD">
        <w:rPr>
          <w:rFonts w:ascii="Calibri" w:eastAsia="Calibri" w:hAnsi="Calibri" w:cs="Times New Roman"/>
          <w:sz w:val="24"/>
        </w:rPr>
        <w:t>0</w:t>
      </w:r>
      <w:r w:rsidRPr="000B5FD5">
        <w:rPr>
          <w:rFonts w:ascii="Calibri" w:eastAsia="Calibri" w:hAnsi="Calibri" w:cs="Times New Roman"/>
          <w:sz w:val="24"/>
        </w:rPr>
        <w:t xml:space="preserve">0 </w:t>
      </w:r>
      <w:r w:rsidR="00860334">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w:t>
      </w:r>
      <w:r w:rsidR="00A06604">
        <w:rPr>
          <w:rFonts w:ascii="Calibri" w:eastAsia="Calibri" w:hAnsi="Calibri" w:cs="Times New Roman"/>
          <w:sz w:val="24"/>
        </w:rPr>
        <w:t>of Public Procurement Rules-36(b</w:t>
      </w:r>
      <w:r w:rsidRPr="0075675C">
        <w:rPr>
          <w:rFonts w:ascii="Calibri" w:eastAsia="Calibri" w:hAnsi="Calibri" w:cs="Times New Roman"/>
          <w:sz w:val="24"/>
        </w:rPr>
        <w:t xml:space="preserve">) single stage, </w:t>
      </w:r>
      <w:r w:rsidR="0095526A">
        <w:rPr>
          <w:rFonts w:ascii="Calibri" w:eastAsia="Calibri" w:hAnsi="Calibri" w:cs="Times New Roman"/>
          <w:sz w:val="24"/>
        </w:rPr>
        <w:t xml:space="preserve">two </w:t>
      </w:r>
      <w:r w:rsidRPr="0075675C">
        <w:rPr>
          <w:rFonts w:ascii="Calibri" w:eastAsia="Calibri" w:hAnsi="Calibri" w:cs="Times New Roman"/>
          <w:sz w:val="24"/>
        </w:rPr>
        <w:t xml:space="preserve">envelope procedure-(PPRA-2004-2010). </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A610A" w:rsidRDefault="005A610A" w:rsidP="005A610A">
      <w:pPr>
        <w:pStyle w:val="NoSpacing"/>
        <w:numPr>
          <w:ilvl w:val="0"/>
          <w:numId w:val="28"/>
        </w:numPr>
        <w:spacing w:line="360" w:lineRule="auto"/>
        <w:jc w:val="both"/>
        <w:rPr>
          <w:sz w:val="24"/>
        </w:rPr>
      </w:pPr>
      <w:r>
        <w:rPr>
          <w:sz w:val="24"/>
        </w:rPr>
        <w:t xml:space="preserve">Soft copy of books will be provided to be composed by the Printer. Modification (If any) will be done at the Press. Colored Dummy will be essentially required for approval prior to printing. Final print will be checked before printing. Maximum of ten days will be provided for the job.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A85D57" w:rsidRDefault="00A85D57" w:rsidP="00A85D57">
      <w:pPr>
        <w:pStyle w:val="ListParagraph"/>
        <w:numPr>
          <w:ilvl w:val="0"/>
          <w:numId w:val="28"/>
        </w:numPr>
        <w:spacing w:after="120" w:line="360" w:lineRule="auto"/>
        <w:rPr>
          <w:rFonts w:ascii="Calibri" w:eastAsia="Calibri" w:hAnsi="Calibri" w:cs="Times New Roman"/>
          <w:sz w:val="24"/>
        </w:rPr>
      </w:pPr>
      <w:r>
        <w:rPr>
          <w:rFonts w:ascii="Calibri" w:eastAsia="Calibri" w:hAnsi="Calibri" w:cs="Times New Roman"/>
          <w:sz w:val="24"/>
        </w:rPr>
        <w:lastRenderedPageBreak/>
        <w:t>PITAC will not be made responsible for any postal delay or damage to proposals during transit. PITAC reserves the right to extend, amend, reject any bid or annual the whole proceedings in line with PPRA rules.</w:t>
      </w:r>
    </w:p>
    <w:p w:rsidR="00A85D57" w:rsidRPr="00A85D57" w:rsidRDefault="00A85D57" w:rsidP="00A85D57">
      <w:pPr>
        <w:pStyle w:val="ListParagraph"/>
        <w:numPr>
          <w:ilvl w:val="0"/>
          <w:numId w:val="28"/>
        </w:numPr>
        <w:spacing w:after="120" w:line="360" w:lineRule="auto"/>
        <w:rPr>
          <w:rFonts w:ascii="Calibri" w:eastAsia="Calibri" w:hAnsi="Calibri" w:cs="Times New Roman"/>
          <w:sz w:val="24"/>
        </w:rPr>
      </w:pPr>
      <w:r>
        <w:rPr>
          <w:rFonts w:ascii="Calibri" w:eastAsia="Calibri" w:hAnsi="Calibri" w:cs="Times New Roman"/>
          <w:sz w:val="24"/>
        </w:rPr>
        <w:t xml:space="preserve">Each bid shall comprise a single package containing two separate envelopes. Each envelope shall contain separately the Technical and Financial bids/proposal. </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bidder</w:t>
      </w:r>
      <w:r w:rsidR="00F54A49">
        <w:rPr>
          <w:rFonts w:ascii="Calibri" w:eastAsia="Calibri" w:hAnsi="Calibri" w:cs="Times New Roman"/>
          <w:sz w:val="24"/>
        </w:rPr>
        <w:t>s</w:t>
      </w:r>
      <w:r w:rsidRPr="0075675C">
        <w:rPr>
          <w:rFonts w:ascii="Calibri" w:eastAsia="Calibri" w:hAnsi="Calibri" w:cs="Times New Roman"/>
          <w:sz w:val="24"/>
        </w:rPr>
        <w:t xml:space="preserve"> will attach their</w:t>
      </w:r>
      <w:r w:rsidR="00F00D4B">
        <w:rPr>
          <w:rFonts w:ascii="Calibri" w:eastAsia="Calibri" w:hAnsi="Calibri" w:cs="Times New Roman"/>
          <w:sz w:val="24"/>
        </w:rPr>
        <w:t xml:space="preserve"> respective valid copies of NTN and </w:t>
      </w:r>
      <w:r w:rsidRPr="0075675C">
        <w:rPr>
          <w:rFonts w:ascii="Calibri" w:eastAsia="Calibri" w:hAnsi="Calibri" w:cs="Times New Roman"/>
          <w:sz w:val="24"/>
        </w:rPr>
        <w:t>Previous Experiences. Order will be placed to bidders on lowest item rates.</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A63369" w:rsidRPr="00DB236E" w:rsidRDefault="00A63369" w:rsidP="00DB236E">
      <w:pPr>
        <w:pStyle w:val="ListParagraph"/>
        <w:numPr>
          <w:ilvl w:val="0"/>
          <w:numId w:val="28"/>
        </w:numPr>
        <w:spacing w:after="120" w:line="360" w:lineRule="auto"/>
        <w:rPr>
          <w:rFonts w:ascii="Calibri" w:eastAsia="Calibri" w:hAnsi="Calibri" w:cs="Times New Roman"/>
          <w:sz w:val="24"/>
        </w:rPr>
      </w:pPr>
      <w:r w:rsidRPr="00DB236E">
        <w:rPr>
          <w:rFonts w:ascii="Calibri" w:eastAsia="Calibri" w:hAnsi="Calibri" w:cs="Times New Roman"/>
          <w:sz w:val="24"/>
        </w:rPr>
        <w:t>PITAC reserves the right to short close / cancel this purchase order and / or recover liquidated damage charges. The penalty at the rate of 1% per week subject to the maximum of 10% will be charged on the rate of supply</w:t>
      </w:r>
      <w:r w:rsidR="008746C5">
        <w:rPr>
          <w:rFonts w:ascii="Calibri" w:eastAsia="Calibri" w:hAnsi="Calibri" w:cs="Times New Roman"/>
          <w:sz w:val="24"/>
        </w:rPr>
        <w:t>.</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t xml:space="preserve">Total payment will be made after the </w:t>
      </w:r>
      <w:r w:rsidR="00A5029E">
        <w:rPr>
          <w:rFonts w:ascii="Calibri" w:eastAsia="Calibri" w:hAnsi="Calibri" w:cs="Times New Roman"/>
          <w:sz w:val="24"/>
        </w:rPr>
        <w:t xml:space="preserve">completion </w:t>
      </w:r>
      <w:r w:rsidRPr="00F20DDA">
        <w:rPr>
          <w:rFonts w:ascii="Calibri" w:eastAsia="Calibri" w:hAnsi="Calibri" w:cs="Times New Roman"/>
          <w:sz w:val="24"/>
        </w:rPr>
        <w:t xml:space="preserve">of </w:t>
      </w:r>
      <w:r w:rsidR="00A5029E">
        <w:rPr>
          <w:rFonts w:ascii="Calibri" w:eastAsia="Calibri" w:hAnsi="Calibri" w:cs="Times New Roman"/>
          <w:sz w:val="24"/>
        </w:rPr>
        <w:t>work</w:t>
      </w:r>
      <w:r w:rsidRPr="00F20DDA">
        <w:rPr>
          <w:rFonts w:ascii="Calibri" w:eastAsia="Calibri" w:hAnsi="Calibri" w:cs="Times New Roman"/>
          <w:sz w:val="24"/>
        </w:rPr>
        <w:t xml:space="preserve">.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7F68BA" w:rsidRDefault="007F68BA"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BD2AF8" w:rsidP="004B187D">
      <w:pPr>
        <w:pStyle w:val="NoSpacing"/>
        <w:jc w:val="right"/>
        <w:outlineLvl w:val="0"/>
        <w:rPr>
          <w:b/>
          <w:bCs/>
          <w:i/>
          <w:iCs/>
          <w:sz w:val="24"/>
          <w:szCs w:val="24"/>
        </w:rPr>
      </w:pPr>
      <w:r>
        <w:rPr>
          <w:b/>
          <w:bCs/>
          <w:i/>
          <w:iCs/>
          <w:sz w:val="24"/>
          <w:szCs w:val="24"/>
        </w:rPr>
        <w:t xml:space="preserve">Director </w:t>
      </w:r>
      <w:r w:rsidR="004B187D" w:rsidRPr="00BC4AAF">
        <w:rPr>
          <w:b/>
          <w:bCs/>
          <w:i/>
          <w:iCs/>
          <w:sz w:val="24"/>
          <w:szCs w:val="24"/>
        </w:rPr>
        <w:t xml:space="preserve">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Default="004B187D" w:rsidP="00757BBC">
      <w:pPr>
        <w:pStyle w:val="NoSpacing"/>
        <w:jc w:val="right"/>
        <w:outlineLvl w:val="0"/>
        <w:rPr>
          <w:b/>
          <w:bCs/>
          <w:i/>
          <w:iCs/>
          <w:sz w:val="24"/>
          <w:szCs w:val="24"/>
        </w:rPr>
      </w:pPr>
      <w:r w:rsidRPr="00BC4AAF">
        <w:rPr>
          <w:b/>
          <w:bCs/>
          <w:i/>
          <w:iCs/>
          <w:sz w:val="24"/>
          <w:szCs w:val="24"/>
        </w:rPr>
        <w:t>Assistance Centre (PITAC)</w:t>
      </w:r>
    </w:p>
    <w:p w:rsidR="00B5758E" w:rsidRDefault="00B5758E" w:rsidP="00757BBC">
      <w:pPr>
        <w:pStyle w:val="NoSpacing"/>
        <w:jc w:val="right"/>
        <w:outlineLvl w:val="0"/>
        <w:rPr>
          <w:b/>
          <w:bCs/>
          <w:i/>
          <w:iCs/>
          <w:sz w:val="24"/>
          <w:szCs w:val="24"/>
        </w:rPr>
      </w:pPr>
    </w:p>
    <w:p w:rsidR="00B5758E" w:rsidRDefault="00B5758E">
      <w:pPr>
        <w:rPr>
          <w:b/>
          <w:bCs/>
          <w:i/>
          <w:iCs/>
          <w:sz w:val="24"/>
          <w:szCs w:val="24"/>
        </w:rPr>
      </w:pPr>
    </w:p>
    <w:sectPr w:rsidR="00B5758E"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E30" w:rsidRDefault="005A1E30" w:rsidP="00A62819">
      <w:pPr>
        <w:spacing w:after="0" w:line="240" w:lineRule="auto"/>
      </w:pPr>
      <w:r>
        <w:separator/>
      </w:r>
    </w:p>
  </w:endnote>
  <w:endnote w:type="continuationSeparator" w:id="1">
    <w:p w:rsidR="005A1E30" w:rsidRDefault="005A1E30"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E30" w:rsidRDefault="005A1E30" w:rsidP="00A62819">
      <w:pPr>
        <w:spacing w:after="0" w:line="240" w:lineRule="auto"/>
      </w:pPr>
      <w:r>
        <w:separator/>
      </w:r>
    </w:p>
  </w:footnote>
  <w:footnote w:type="continuationSeparator" w:id="1">
    <w:p w:rsidR="005A1E30" w:rsidRDefault="005A1E30"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B0F7A61"/>
    <w:multiLevelType w:val="hybridMultilevel"/>
    <w:tmpl w:val="4CA82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7"/>
  </w:num>
  <w:num w:numId="5">
    <w:abstractNumId w:val="11"/>
  </w:num>
  <w:num w:numId="6">
    <w:abstractNumId w:val="9"/>
  </w:num>
  <w:num w:numId="7">
    <w:abstractNumId w:val="29"/>
  </w:num>
  <w:num w:numId="8">
    <w:abstractNumId w:val="12"/>
  </w:num>
  <w:num w:numId="9">
    <w:abstractNumId w:val="36"/>
  </w:num>
  <w:num w:numId="10">
    <w:abstractNumId w:val="8"/>
  </w:num>
  <w:num w:numId="11">
    <w:abstractNumId w:val="3"/>
  </w:num>
  <w:num w:numId="12">
    <w:abstractNumId w:val="15"/>
  </w:num>
  <w:num w:numId="13">
    <w:abstractNumId w:val="34"/>
  </w:num>
  <w:num w:numId="14">
    <w:abstractNumId w:val="19"/>
  </w:num>
  <w:num w:numId="15">
    <w:abstractNumId w:val="27"/>
  </w:num>
  <w:num w:numId="16">
    <w:abstractNumId w:val="28"/>
  </w:num>
  <w:num w:numId="17">
    <w:abstractNumId w:val="10"/>
  </w:num>
  <w:num w:numId="18">
    <w:abstractNumId w:val="37"/>
  </w:num>
  <w:num w:numId="19">
    <w:abstractNumId w:val="16"/>
  </w:num>
  <w:num w:numId="20">
    <w:abstractNumId w:val="18"/>
  </w:num>
  <w:num w:numId="21">
    <w:abstractNumId w:val="23"/>
  </w:num>
  <w:num w:numId="22">
    <w:abstractNumId w:val="2"/>
  </w:num>
  <w:num w:numId="23">
    <w:abstractNumId w:val="35"/>
  </w:num>
  <w:num w:numId="24">
    <w:abstractNumId w:val="6"/>
  </w:num>
  <w:num w:numId="25">
    <w:abstractNumId w:val="32"/>
  </w:num>
  <w:num w:numId="26">
    <w:abstractNumId w:val="31"/>
  </w:num>
  <w:num w:numId="27">
    <w:abstractNumId w:val="38"/>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useFELayout/>
  </w:compat>
  <w:rsids>
    <w:rsidRoot w:val="00A62819"/>
    <w:rsid w:val="00001410"/>
    <w:rsid w:val="00001DB2"/>
    <w:rsid w:val="00020935"/>
    <w:rsid w:val="000252E5"/>
    <w:rsid w:val="00032DF7"/>
    <w:rsid w:val="00032E97"/>
    <w:rsid w:val="00034F09"/>
    <w:rsid w:val="00046219"/>
    <w:rsid w:val="0005408B"/>
    <w:rsid w:val="00057AC8"/>
    <w:rsid w:val="00060377"/>
    <w:rsid w:val="00063EAE"/>
    <w:rsid w:val="00066E41"/>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4597B"/>
    <w:rsid w:val="0015112B"/>
    <w:rsid w:val="00151504"/>
    <w:rsid w:val="00155880"/>
    <w:rsid w:val="0016314F"/>
    <w:rsid w:val="00165AB4"/>
    <w:rsid w:val="00166D8B"/>
    <w:rsid w:val="0017342A"/>
    <w:rsid w:val="0017798B"/>
    <w:rsid w:val="00184B27"/>
    <w:rsid w:val="001900D0"/>
    <w:rsid w:val="00192E28"/>
    <w:rsid w:val="001940FE"/>
    <w:rsid w:val="00197467"/>
    <w:rsid w:val="001A1607"/>
    <w:rsid w:val="001A1678"/>
    <w:rsid w:val="001A17A4"/>
    <w:rsid w:val="001A21B3"/>
    <w:rsid w:val="001A24F0"/>
    <w:rsid w:val="001B0E9A"/>
    <w:rsid w:val="001B3559"/>
    <w:rsid w:val="001B70B4"/>
    <w:rsid w:val="001B7994"/>
    <w:rsid w:val="001C33D1"/>
    <w:rsid w:val="001C6D3E"/>
    <w:rsid w:val="001F4E4C"/>
    <w:rsid w:val="002007D7"/>
    <w:rsid w:val="00207784"/>
    <w:rsid w:val="002228BB"/>
    <w:rsid w:val="00232C5E"/>
    <w:rsid w:val="00240EC8"/>
    <w:rsid w:val="002435C5"/>
    <w:rsid w:val="002532EE"/>
    <w:rsid w:val="00255A43"/>
    <w:rsid w:val="00260E7B"/>
    <w:rsid w:val="00264A30"/>
    <w:rsid w:val="00267CBF"/>
    <w:rsid w:val="002706F2"/>
    <w:rsid w:val="0027320E"/>
    <w:rsid w:val="00273406"/>
    <w:rsid w:val="002734A5"/>
    <w:rsid w:val="0028118E"/>
    <w:rsid w:val="00286DAC"/>
    <w:rsid w:val="00291445"/>
    <w:rsid w:val="00291843"/>
    <w:rsid w:val="00291F4E"/>
    <w:rsid w:val="00292F1A"/>
    <w:rsid w:val="0029344D"/>
    <w:rsid w:val="0029618E"/>
    <w:rsid w:val="002A415D"/>
    <w:rsid w:val="002A7420"/>
    <w:rsid w:val="002B1202"/>
    <w:rsid w:val="002B5802"/>
    <w:rsid w:val="002B76B0"/>
    <w:rsid w:val="002C0F86"/>
    <w:rsid w:val="002C17F0"/>
    <w:rsid w:val="002C1F8C"/>
    <w:rsid w:val="002C342E"/>
    <w:rsid w:val="002D2221"/>
    <w:rsid w:val="002D2FFC"/>
    <w:rsid w:val="002D77DF"/>
    <w:rsid w:val="002E10D7"/>
    <w:rsid w:val="002E669E"/>
    <w:rsid w:val="002F5B31"/>
    <w:rsid w:val="00300359"/>
    <w:rsid w:val="00300731"/>
    <w:rsid w:val="00301B28"/>
    <w:rsid w:val="00302523"/>
    <w:rsid w:val="00310815"/>
    <w:rsid w:val="00315438"/>
    <w:rsid w:val="003164DE"/>
    <w:rsid w:val="00316828"/>
    <w:rsid w:val="0032147C"/>
    <w:rsid w:val="003236B3"/>
    <w:rsid w:val="003269F2"/>
    <w:rsid w:val="00326CAB"/>
    <w:rsid w:val="00326D5E"/>
    <w:rsid w:val="00340126"/>
    <w:rsid w:val="003412DA"/>
    <w:rsid w:val="00345E90"/>
    <w:rsid w:val="0036063D"/>
    <w:rsid w:val="00370CCA"/>
    <w:rsid w:val="003759E9"/>
    <w:rsid w:val="00382E64"/>
    <w:rsid w:val="00386543"/>
    <w:rsid w:val="00393DC6"/>
    <w:rsid w:val="00394395"/>
    <w:rsid w:val="00395956"/>
    <w:rsid w:val="00397108"/>
    <w:rsid w:val="00397891"/>
    <w:rsid w:val="003A277E"/>
    <w:rsid w:val="003A5A43"/>
    <w:rsid w:val="003B3C0F"/>
    <w:rsid w:val="003C0B34"/>
    <w:rsid w:val="003C45A2"/>
    <w:rsid w:val="003C472A"/>
    <w:rsid w:val="003C6D4E"/>
    <w:rsid w:val="003D43BA"/>
    <w:rsid w:val="003D484B"/>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D1B"/>
    <w:rsid w:val="00457E5F"/>
    <w:rsid w:val="00470742"/>
    <w:rsid w:val="00472C25"/>
    <w:rsid w:val="00475CA3"/>
    <w:rsid w:val="00477FD5"/>
    <w:rsid w:val="004832B4"/>
    <w:rsid w:val="00483514"/>
    <w:rsid w:val="00485F4B"/>
    <w:rsid w:val="00490ACF"/>
    <w:rsid w:val="004A6CAA"/>
    <w:rsid w:val="004A7300"/>
    <w:rsid w:val="004B187D"/>
    <w:rsid w:val="004B2DAF"/>
    <w:rsid w:val="004B5729"/>
    <w:rsid w:val="004B6A08"/>
    <w:rsid w:val="004C2199"/>
    <w:rsid w:val="004C432D"/>
    <w:rsid w:val="004D1085"/>
    <w:rsid w:val="004D7D14"/>
    <w:rsid w:val="004E1EA6"/>
    <w:rsid w:val="004F2F7D"/>
    <w:rsid w:val="004F3C5C"/>
    <w:rsid w:val="004F76AC"/>
    <w:rsid w:val="005013A3"/>
    <w:rsid w:val="005025AC"/>
    <w:rsid w:val="00502972"/>
    <w:rsid w:val="00505459"/>
    <w:rsid w:val="00510126"/>
    <w:rsid w:val="00513F69"/>
    <w:rsid w:val="00523E45"/>
    <w:rsid w:val="0052655F"/>
    <w:rsid w:val="00527893"/>
    <w:rsid w:val="00534AA8"/>
    <w:rsid w:val="00536B29"/>
    <w:rsid w:val="00537FC9"/>
    <w:rsid w:val="0054780C"/>
    <w:rsid w:val="00561EE4"/>
    <w:rsid w:val="005663BD"/>
    <w:rsid w:val="00567267"/>
    <w:rsid w:val="005711FD"/>
    <w:rsid w:val="00571A0B"/>
    <w:rsid w:val="00575776"/>
    <w:rsid w:val="005873A8"/>
    <w:rsid w:val="00590518"/>
    <w:rsid w:val="00590D71"/>
    <w:rsid w:val="005914B1"/>
    <w:rsid w:val="005A1E30"/>
    <w:rsid w:val="005A5F37"/>
    <w:rsid w:val="005A610A"/>
    <w:rsid w:val="005B15FF"/>
    <w:rsid w:val="005B4FB7"/>
    <w:rsid w:val="005C5267"/>
    <w:rsid w:val="005D18CD"/>
    <w:rsid w:val="005D3371"/>
    <w:rsid w:val="005D61E6"/>
    <w:rsid w:val="005E4147"/>
    <w:rsid w:val="005E4298"/>
    <w:rsid w:val="005E5474"/>
    <w:rsid w:val="005E6C45"/>
    <w:rsid w:val="005F220B"/>
    <w:rsid w:val="005F58F1"/>
    <w:rsid w:val="005F7DC1"/>
    <w:rsid w:val="00601DCB"/>
    <w:rsid w:val="00603619"/>
    <w:rsid w:val="00606326"/>
    <w:rsid w:val="0060787C"/>
    <w:rsid w:val="00623D7C"/>
    <w:rsid w:val="00627011"/>
    <w:rsid w:val="006342FF"/>
    <w:rsid w:val="006350F4"/>
    <w:rsid w:val="006361CE"/>
    <w:rsid w:val="006407EC"/>
    <w:rsid w:val="00642CEE"/>
    <w:rsid w:val="006527EF"/>
    <w:rsid w:val="00653C4B"/>
    <w:rsid w:val="0065552B"/>
    <w:rsid w:val="006568B9"/>
    <w:rsid w:val="006618C9"/>
    <w:rsid w:val="00663C74"/>
    <w:rsid w:val="0067023F"/>
    <w:rsid w:val="00671421"/>
    <w:rsid w:val="00680D77"/>
    <w:rsid w:val="00693493"/>
    <w:rsid w:val="00697C46"/>
    <w:rsid w:val="006A61B8"/>
    <w:rsid w:val="006B1D41"/>
    <w:rsid w:val="006B550B"/>
    <w:rsid w:val="006B7FF4"/>
    <w:rsid w:val="006E234E"/>
    <w:rsid w:val="006E6B95"/>
    <w:rsid w:val="006E6FB7"/>
    <w:rsid w:val="006F0376"/>
    <w:rsid w:val="006F278D"/>
    <w:rsid w:val="006F4DA1"/>
    <w:rsid w:val="006F5EF3"/>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A24A4"/>
    <w:rsid w:val="007A2563"/>
    <w:rsid w:val="007A7D22"/>
    <w:rsid w:val="007B1C7D"/>
    <w:rsid w:val="007B2AAD"/>
    <w:rsid w:val="007B48E2"/>
    <w:rsid w:val="007B6045"/>
    <w:rsid w:val="007D0550"/>
    <w:rsid w:val="007D683C"/>
    <w:rsid w:val="007E3730"/>
    <w:rsid w:val="007F250A"/>
    <w:rsid w:val="007F5072"/>
    <w:rsid w:val="007F67AC"/>
    <w:rsid w:val="007F68BA"/>
    <w:rsid w:val="00805FDA"/>
    <w:rsid w:val="00810A21"/>
    <w:rsid w:val="00820A28"/>
    <w:rsid w:val="00820E3D"/>
    <w:rsid w:val="00823282"/>
    <w:rsid w:val="00827485"/>
    <w:rsid w:val="0083349B"/>
    <w:rsid w:val="0084055B"/>
    <w:rsid w:val="008406B4"/>
    <w:rsid w:val="00841C6A"/>
    <w:rsid w:val="00844398"/>
    <w:rsid w:val="00845FD2"/>
    <w:rsid w:val="0085018F"/>
    <w:rsid w:val="00857CBF"/>
    <w:rsid w:val="00860334"/>
    <w:rsid w:val="0086356C"/>
    <w:rsid w:val="00865441"/>
    <w:rsid w:val="008746C5"/>
    <w:rsid w:val="00874DAB"/>
    <w:rsid w:val="008805ED"/>
    <w:rsid w:val="008815E2"/>
    <w:rsid w:val="00885F2A"/>
    <w:rsid w:val="0089220A"/>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64F2"/>
    <w:rsid w:val="00946B3F"/>
    <w:rsid w:val="009478AC"/>
    <w:rsid w:val="00950A7E"/>
    <w:rsid w:val="00950F0F"/>
    <w:rsid w:val="00951F42"/>
    <w:rsid w:val="0095526A"/>
    <w:rsid w:val="009568A9"/>
    <w:rsid w:val="00956BE3"/>
    <w:rsid w:val="00963E1C"/>
    <w:rsid w:val="009645C4"/>
    <w:rsid w:val="00972FAC"/>
    <w:rsid w:val="009748B1"/>
    <w:rsid w:val="0097739B"/>
    <w:rsid w:val="009817D7"/>
    <w:rsid w:val="0098485A"/>
    <w:rsid w:val="00984DFF"/>
    <w:rsid w:val="00990067"/>
    <w:rsid w:val="00991A27"/>
    <w:rsid w:val="0099203A"/>
    <w:rsid w:val="00993E1A"/>
    <w:rsid w:val="009A2D1C"/>
    <w:rsid w:val="009A4E71"/>
    <w:rsid w:val="009A50C5"/>
    <w:rsid w:val="009B22B7"/>
    <w:rsid w:val="009D16A6"/>
    <w:rsid w:val="009D7EE1"/>
    <w:rsid w:val="009E24AF"/>
    <w:rsid w:val="009E25D1"/>
    <w:rsid w:val="009E6BB9"/>
    <w:rsid w:val="009F4493"/>
    <w:rsid w:val="00A00218"/>
    <w:rsid w:val="00A035A4"/>
    <w:rsid w:val="00A05611"/>
    <w:rsid w:val="00A06604"/>
    <w:rsid w:val="00A069E6"/>
    <w:rsid w:val="00A106CB"/>
    <w:rsid w:val="00A11692"/>
    <w:rsid w:val="00A258DF"/>
    <w:rsid w:val="00A267BC"/>
    <w:rsid w:val="00A347AC"/>
    <w:rsid w:val="00A359CB"/>
    <w:rsid w:val="00A40676"/>
    <w:rsid w:val="00A4253F"/>
    <w:rsid w:val="00A5029E"/>
    <w:rsid w:val="00A51C1D"/>
    <w:rsid w:val="00A53D6A"/>
    <w:rsid w:val="00A56EB4"/>
    <w:rsid w:val="00A57875"/>
    <w:rsid w:val="00A605B8"/>
    <w:rsid w:val="00A60C8F"/>
    <w:rsid w:val="00A61967"/>
    <w:rsid w:val="00A62819"/>
    <w:rsid w:val="00A63369"/>
    <w:rsid w:val="00A6637A"/>
    <w:rsid w:val="00A81D1C"/>
    <w:rsid w:val="00A845DF"/>
    <w:rsid w:val="00A85D57"/>
    <w:rsid w:val="00A868EA"/>
    <w:rsid w:val="00A926D7"/>
    <w:rsid w:val="00A929BB"/>
    <w:rsid w:val="00A972B2"/>
    <w:rsid w:val="00AA01F0"/>
    <w:rsid w:val="00AA02FD"/>
    <w:rsid w:val="00AA208A"/>
    <w:rsid w:val="00AA29D1"/>
    <w:rsid w:val="00AA7599"/>
    <w:rsid w:val="00AB0C6C"/>
    <w:rsid w:val="00AB5B98"/>
    <w:rsid w:val="00AC3FBB"/>
    <w:rsid w:val="00AD3526"/>
    <w:rsid w:val="00AD7F11"/>
    <w:rsid w:val="00AE1111"/>
    <w:rsid w:val="00AE2770"/>
    <w:rsid w:val="00AE303F"/>
    <w:rsid w:val="00AE332C"/>
    <w:rsid w:val="00AE7363"/>
    <w:rsid w:val="00AF18AD"/>
    <w:rsid w:val="00AF78D6"/>
    <w:rsid w:val="00B02DB8"/>
    <w:rsid w:val="00B036B1"/>
    <w:rsid w:val="00B22899"/>
    <w:rsid w:val="00B24DB3"/>
    <w:rsid w:val="00B26A4D"/>
    <w:rsid w:val="00B31996"/>
    <w:rsid w:val="00B35D2A"/>
    <w:rsid w:val="00B40A25"/>
    <w:rsid w:val="00B41B3A"/>
    <w:rsid w:val="00B4568D"/>
    <w:rsid w:val="00B55320"/>
    <w:rsid w:val="00B56370"/>
    <w:rsid w:val="00B567D9"/>
    <w:rsid w:val="00B56EF9"/>
    <w:rsid w:val="00B5758E"/>
    <w:rsid w:val="00B6189B"/>
    <w:rsid w:val="00B632BA"/>
    <w:rsid w:val="00B64BC3"/>
    <w:rsid w:val="00B72699"/>
    <w:rsid w:val="00B732A8"/>
    <w:rsid w:val="00B73F52"/>
    <w:rsid w:val="00B7694F"/>
    <w:rsid w:val="00B811C4"/>
    <w:rsid w:val="00B814B2"/>
    <w:rsid w:val="00B9090C"/>
    <w:rsid w:val="00B9433D"/>
    <w:rsid w:val="00BA0B6C"/>
    <w:rsid w:val="00BA126D"/>
    <w:rsid w:val="00BA1AC8"/>
    <w:rsid w:val="00BA63E9"/>
    <w:rsid w:val="00BB50AE"/>
    <w:rsid w:val="00BC3FBA"/>
    <w:rsid w:val="00BC4AAF"/>
    <w:rsid w:val="00BD067D"/>
    <w:rsid w:val="00BD2AF8"/>
    <w:rsid w:val="00BD393B"/>
    <w:rsid w:val="00BD492C"/>
    <w:rsid w:val="00BD5D6F"/>
    <w:rsid w:val="00BD6340"/>
    <w:rsid w:val="00BE73AE"/>
    <w:rsid w:val="00BE7C27"/>
    <w:rsid w:val="00BF0452"/>
    <w:rsid w:val="00BF1C75"/>
    <w:rsid w:val="00C15377"/>
    <w:rsid w:val="00C1573A"/>
    <w:rsid w:val="00C158A3"/>
    <w:rsid w:val="00C15DB0"/>
    <w:rsid w:val="00C23E77"/>
    <w:rsid w:val="00C266D8"/>
    <w:rsid w:val="00C322AF"/>
    <w:rsid w:val="00C369E2"/>
    <w:rsid w:val="00C36F33"/>
    <w:rsid w:val="00C4326C"/>
    <w:rsid w:val="00C457C7"/>
    <w:rsid w:val="00C46821"/>
    <w:rsid w:val="00C51ADD"/>
    <w:rsid w:val="00C5224A"/>
    <w:rsid w:val="00C531FB"/>
    <w:rsid w:val="00C55E53"/>
    <w:rsid w:val="00C75618"/>
    <w:rsid w:val="00C76377"/>
    <w:rsid w:val="00C90505"/>
    <w:rsid w:val="00C942AF"/>
    <w:rsid w:val="00CA05A2"/>
    <w:rsid w:val="00CA56E5"/>
    <w:rsid w:val="00CC29E9"/>
    <w:rsid w:val="00CC5770"/>
    <w:rsid w:val="00CD2B13"/>
    <w:rsid w:val="00CE198D"/>
    <w:rsid w:val="00CE32EF"/>
    <w:rsid w:val="00CE3912"/>
    <w:rsid w:val="00CE39AB"/>
    <w:rsid w:val="00CE5A3C"/>
    <w:rsid w:val="00CF4898"/>
    <w:rsid w:val="00CF5017"/>
    <w:rsid w:val="00CF5E4C"/>
    <w:rsid w:val="00CF6CDC"/>
    <w:rsid w:val="00D0460F"/>
    <w:rsid w:val="00D111BF"/>
    <w:rsid w:val="00D132F2"/>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23E8"/>
    <w:rsid w:val="00D83159"/>
    <w:rsid w:val="00D871C2"/>
    <w:rsid w:val="00D907B0"/>
    <w:rsid w:val="00D91696"/>
    <w:rsid w:val="00DA3207"/>
    <w:rsid w:val="00DA4E87"/>
    <w:rsid w:val="00DA54C8"/>
    <w:rsid w:val="00DB236E"/>
    <w:rsid w:val="00DB241C"/>
    <w:rsid w:val="00DB524C"/>
    <w:rsid w:val="00DC1676"/>
    <w:rsid w:val="00DC186C"/>
    <w:rsid w:val="00DC4E11"/>
    <w:rsid w:val="00DE1834"/>
    <w:rsid w:val="00DE1CCD"/>
    <w:rsid w:val="00DE2DA8"/>
    <w:rsid w:val="00DE3142"/>
    <w:rsid w:val="00DE48D1"/>
    <w:rsid w:val="00DF2FDD"/>
    <w:rsid w:val="00E016CE"/>
    <w:rsid w:val="00E02D38"/>
    <w:rsid w:val="00E03AA1"/>
    <w:rsid w:val="00E06541"/>
    <w:rsid w:val="00E07057"/>
    <w:rsid w:val="00E164CF"/>
    <w:rsid w:val="00E2086C"/>
    <w:rsid w:val="00E254E7"/>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825CE"/>
    <w:rsid w:val="00E9451A"/>
    <w:rsid w:val="00E96707"/>
    <w:rsid w:val="00E97654"/>
    <w:rsid w:val="00E97D1E"/>
    <w:rsid w:val="00EA006D"/>
    <w:rsid w:val="00EA2619"/>
    <w:rsid w:val="00EB0537"/>
    <w:rsid w:val="00EB2B8D"/>
    <w:rsid w:val="00EB527F"/>
    <w:rsid w:val="00EC3692"/>
    <w:rsid w:val="00EC53AC"/>
    <w:rsid w:val="00EC5653"/>
    <w:rsid w:val="00ED27C0"/>
    <w:rsid w:val="00ED420B"/>
    <w:rsid w:val="00ED57F2"/>
    <w:rsid w:val="00EE203A"/>
    <w:rsid w:val="00EF66E0"/>
    <w:rsid w:val="00F00193"/>
    <w:rsid w:val="00F00D4B"/>
    <w:rsid w:val="00F04BAD"/>
    <w:rsid w:val="00F06AB1"/>
    <w:rsid w:val="00F16D30"/>
    <w:rsid w:val="00F204C7"/>
    <w:rsid w:val="00F20DDA"/>
    <w:rsid w:val="00F2482A"/>
    <w:rsid w:val="00F26282"/>
    <w:rsid w:val="00F32156"/>
    <w:rsid w:val="00F335E1"/>
    <w:rsid w:val="00F33C05"/>
    <w:rsid w:val="00F36B07"/>
    <w:rsid w:val="00F36CAE"/>
    <w:rsid w:val="00F372BB"/>
    <w:rsid w:val="00F37EA7"/>
    <w:rsid w:val="00F44C95"/>
    <w:rsid w:val="00F54042"/>
    <w:rsid w:val="00F54A49"/>
    <w:rsid w:val="00F54C0C"/>
    <w:rsid w:val="00F552A4"/>
    <w:rsid w:val="00F55FEE"/>
    <w:rsid w:val="00F75DD4"/>
    <w:rsid w:val="00F75FF0"/>
    <w:rsid w:val="00F82D70"/>
    <w:rsid w:val="00F855A7"/>
    <w:rsid w:val="00F92605"/>
    <w:rsid w:val="00F953D0"/>
    <w:rsid w:val="00F97E14"/>
    <w:rsid w:val="00FB7686"/>
    <w:rsid w:val="00FB7D36"/>
    <w:rsid w:val="00FC1C80"/>
    <w:rsid w:val="00FC7DE6"/>
    <w:rsid w:val="00FD39EC"/>
    <w:rsid w:val="00FE33D0"/>
    <w:rsid w:val="00FE3B5F"/>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15EE-7C9F-406D-89F5-E2497183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ALI</cp:lastModifiedBy>
  <cp:revision>35</cp:revision>
  <cp:lastPrinted>2015-08-10T08:01:00Z</cp:lastPrinted>
  <dcterms:created xsi:type="dcterms:W3CDTF">2005-01-04T05:20:00Z</dcterms:created>
  <dcterms:modified xsi:type="dcterms:W3CDTF">2015-08-10T08:03:00Z</dcterms:modified>
</cp:coreProperties>
</file>